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w:t>
      </w:r>
      <w:r w:rsidR="00AE227C" w:rsidRPr="00A206A5">
        <w:rPr>
          <w:rFonts w:ascii="EMprint" w:hAnsi="EMprint"/>
          <w:sz w:val="22"/>
          <w:szCs w:val="22"/>
        </w:rPr>
        <w:t>_</w:t>
      </w:r>
      <w:proofErr w:type="gramEnd"/>
      <w:r w:rsidR="00AE227C" w:rsidRPr="00A206A5">
        <w:rPr>
          <w:rFonts w:ascii="EMprint" w:hAnsi="EMprint"/>
          <w:sz w:val="22"/>
          <w:szCs w:val="22"/>
        </w:rPr>
        <w:t>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1:_</w:t>
      </w:r>
      <w:proofErr w:type="gramEnd"/>
      <w:r w:rsidR="005A370A" w:rsidRPr="00A206A5">
        <w:rPr>
          <w:rFonts w:ascii="EMprint" w:hAnsi="EMprint"/>
          <w:sz w:val="22"/>
          <w:szCs w:val="22"/>
        </w:rPr>
        <w:t>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 xml:space="preserve">Note: </w:t>
      </w:r>
      <w:proofErr w:type="gramStart"/>
      <w:r w:rsidR="00A206A5" w:rsidRPr="00C840A8">
        <w:rPr>
          <w:rFonts w:ascii="EMprint" w:hAnsi="EMprint"/>
          <w:b/>
          <w:sz w:val="22"/>
          <w:szCs w:val="22"/>
        </w:rPr>
        <w:t>the</w:t>
      </w:r>
      <w:proofErr w:type="gramEnd"/>
      <w:r w:rsidR="00A206A5" w:rsidRPr="00C840A8">
        <w:rPr>
          <w:rFonts w:ascii="EMprint" w:hAnsi="EMprint"/>
          <w:b/>
          <w:sz w:val="22"/>
          <w:szCs w:val="22"/>
        </w:rPr>
        <w:t xml:space="preserv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 xml:space="preserve">nspection or maintenance </w:t>
      </w:r>
      <w:proofErr w:type="gramStart"/>
      <w:r w:rsidR="00744135" w:rsidRPr="00A206A5">
        <w:rPr>
          <w:rFonts w:ascii="EMprint" w:hAnsi="EMprint"/>
          <w:b/>
          <w:sz w:val="22"/>
          <w:szCs w:val="22"/>
        </w:rPr>
        <w:t>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proofErr w:type="gramEnd"/>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blPrEx>
          <w:tblCellMar>
            <w:top w:w="0" w:type="dxa"/>
            <w:bottom w:w="0" w:type="dxa"/>
          </w:tblCellMar>
        </w:tblPrEx>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w:t>
            </w:r>
            <w:proofErr w:type="spellStart"/>
            <w:proofErr w:type="gramStart"/>
            <w:r>
              <w:rPr>
                <w:sz w:val="18"/>
              </w:rPr>
              <w:t>Aids</w:t>
            </w:r>
            <w:r>
              <w:rPr>
                <w:sz w:val="18"/>
                <w:vertAlign w:val="superscript"/>
              </w:rPr>
              <w:t>TM</w:t>
            </w:r>
            <w:proofErr w:type="spellEnd"/>
            <w:r>
              <w:rPr>
                <w:sz w:val="18"/>
              </w:rPr>
              <w:t xml:space="preserve"> ,</w:t>
            </w:r>
            <w:proofErr w:type="gramEnd"/>
            <w:r>
              <w:rPr>
                <w:sz w:val="18"/>
              </w:rPr>
              <w:t xml:space="preserve"> gauze pads, etc,; or using butterfly bandages or </w:t>
            </w:r>
            <w:proofErr w:type="spellStart"/>
            <w:r>
              <w:rPr>
                <w:sz w:val="18"/>
              </w:rPr>
              <w:t>Steri-Strips</w:t>
            </w:r>
            <w:r>
              <w:rPr>
                <w:sz w:val="18"/>
                <w:vertAlign w:val="superscript"/>
              </w:rPr>
              <w:t>TM</w:t>
            </w:r>
            <w:proofErr w:type="spellEnd"/>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 xml:space="preserve">The injury or </w:t>
            </w:r>
            <w:proofErr w:type="gramStart"/>
            <w:r>
              <w:rPr>
                <w:sz w:val="18"/>
              </w:rPr>
              <w:t>illness  keeps</w:t>
            </w:r>
            <w:proofErr w:type="gramEnd"/>
            <w:r>
              <w:rPr>
                <w:sz w:val="18"/>
              </w:rPr>
              <w:t xml:space="preserve">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xml:space="preserve">* Do not record cases where the injured or ill worker produces fewer goods or services than he or she would have produced prior to the injury or illness but otherwise performs </w:t>
            </w:r>
            <w:proofErr w:type="gramStart"/>
            <w:r>
              <w:rPr>
                <w:sz w:val="18"/>
              </w:rPr>
              <w:t>all of</w:t>
            </w:r>
            <w:proofErr w:type="gramEnd"/>
            <w:r>
              <w:rPr>
                <w:sz w:val="18"/>
              </w:rPr>
              <w:t xml:space="preserve">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w:t>
            </w:r>
            <w:proofErr w:type="gramStart"/>
            <w:r>
              <w:rPr>
                <w:sz w:val="18"/>
              </w:rPr>
              <w:t>all of</w:t>
            </w:r>
            <w:proofErr w:type="gramEnd"/>
            <w:r>
              <w:rPr>
                <w:sz w:val="18"/>
              </w:rPr>
              <w:t xml:space="preserve">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xml:space="preserve">* In cases where recommendations are received by two or more physicians or health care professionals, the Company may decide which recommendation is the most </w:t>
            </w:r>
            <w:proofErr w:type="gramStart"/>
            <w:r>
              <w:rPr>
                <w:sz w:val="18"/>
              </w:rPr>
              <w:t>authoritative, and</w:t>
            </w:r>
            <w:proofErr w:type="gramEnd"/>
            <w:r>
              <w:rPr>
                <w:sz w:val="18"/>
              </w:rPr>
              <w:t xml:space="preserve">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blPrEx>
          <w:tblCellMar>
            <w:top w:w="0" w:type="dxa"/>
            <w:bottom w:w="0" w:type="dxa"/>
          </w:tblCellMar>
        </w:tblPrEx>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 xml:space="preserve">(Note that it does not matter whether the next calendar day is a scheduled </w:t>
            </w:r>
            <w:proofErr w:type="gramStart"/>
            <w:r w:rsidRPr="00A206A5">
              <w:rPr>
                <w:sz w:val="18"/>
              </w:rPr>
              <w:t>work day</w:t>
            </w:r>
            <w:proofErr w:type="gramEnd"/>
            <w:r w:rsidRPr="00A206A5">
              <w:rPr>
                <w:sz w:val="18"/>
              </w:rPr>
              <w:t xml:space="preserve">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 xml:space="preserve">All antibiotics including those dispensed as prophylaxis where injury or illness has occurred to the subject individual.  Exceptions:  Dermal applications of Bacitracin, Neosporin, </w:t>
            </w:r>
            <w:proofErr w:type="spellStart"/>
            <w:r w:rsidRPr="00A206A5">
              <w:rPr>
                <w:sz w:val="18"/>
              </w:rPr>
              <w:t>Polysporin</w:t>
            </w:r>
            <w:proofErr w:type="spellEnd"/>
            <w:r w:rsidRPr="00A206A5">
              <w:rPr>
                <w:sz w:val="18"/>
              </w:rPr>
              <w:t xml:space="preserve">, Polymyxin, </w:t>
            </w:r>
            <w:proofErr w:type="spellStart"/>
            <w:r w:rsidRPr="00A206A5">
              <w:rPr>
                <w:sz w:val="18"/>
              </w:rPr>
              <w:t>lodine</w:t>
            </w:r>
            <w:proofErr w:type="spellEnd"/>
            <w:r w:rsidRPr="00A206A5">
              <w:rPr>
                <w:sz w:val="18"/>
              </w:rPr>
              <w:t xml:space="preserv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xml:space="preserve">- Ibuprofen (such as </w:t>
            </w:r>
            <w:proofErr w:type="spellStart"/>
            <w:r w:rsidRPr="00A206A5">
              <w:rPr>
                <w:sz w:val="18"/>
              </w:rPr>
              <w:t>Advil</w:t>
            </w:r>
            <w:r w:rsidRPr="00A206A5">
              <w:rPr>
                <w:sz w:val="18"/>
                <w:vertAlign w:val="superscript"/>
              </w:rPr>
              <w:t>TM</w:t>
            </w:r>
            <w:proofErr w:type="spellEnd"/>
            <w:r w:rsidRPr="00A206A5">
              <w:rPr>
                <w:sz w:val="18"/>
              </w:rPr>
              <w:t>) - Greater than 467 mg in a single dose.</w:t>
            </w:r>
          </w:p>
          <w:p w14:paraId="49ABFA23" w14:textId="77777777" w:rsidR="00E87795" w:rsidRPr="00A206A5" w:rsidRDefault="00E87795" w:rsidP="005B5CE6">
            <w:pPr>
              <w:rPr>
                <w:sz w:val="18"/>
              </w:rPr>
            </w:pPr>
            <w:r w:rsidRPr="00A206A5">
              <w:rPr>
                <w:sz w:val="18"/>
              </w:rPr>
              <w:t xml:space="preserve">- Naproxen Sodium (such as </w:t>
            </w:r>
            <w:proofErr w:type="spellStart"/>
            <w:r w:rsidRPr="00A206A5">
              <w:rPr>
                <w:sz w:val="18"/>
              </w:rPr>
              <w:t>Aleve</w:t>
            </w:r>
            <w:r w:rsidRPr="00A206A5">
              <w:rPr>
                <w:sz w:val="18"/>
                <w:vertAlign w:val="superscript"/>
              </w:rPr>
              <w:t>TM</w:t>
            </w:r>
            <w:proofErr w:type="spellEnd"/>
            <w:r w:rsidRPr="00A206A5">
              <w:rPr>
                <w:sz w:val="18"/>
              </w:rPr>
              <w:t>) - Greater than 220 mg in a single dose.</w:t>
            </w:r>
          </w:p>
          <w:p w14:paraId="65A7F664" w14:textId="77777777" w:rsidR="00E87795" w:rsidRPr="00A206A5" w:rsidRDefault="00E87795" w:rsidP="005B5CE6">
            <w:pPr>
              <w:rPr>
                <w:sz w:val="18"/>
              </w:rPr>
            </w:pPr>
            <w:r w:rsidRPr="00A206A5">
              <w:rPr>
                <w:sz w:val="18"/>
              </w:rPr>
              <w:t xml:space="preserve">- Ketoprofen (such as </w:t>
            </w:r>
            <w:proofErr w:type="spellStart"/>
            <w:r w:rsidRPr="00A206A5">
              <w:rPr>
                <w:sz w:val="18"/>
              </w:rPr>
              <w:t>Orudis</w:t>
            </w:r>
            <w:proofErr w:type="spellEnd"/>
            <w:r w:rsidRPr="00A206A5">
              <w:rPr>
                <w:sz w:val="18"/>
              </w:rPr>
              <w:t xml:space="preserve">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w:t>
            </w:r>
            <w:proofErr w:type="spellStart"/>
            <w:r w:rsidRPr="00A206A5">
              <w:rPr>
                <w:sz w:val="18"/>
              </w:rPr>
              <w:t>Cocodamol</w:t>
            </w:r>
            <w:proofErr w:type="spellEnd"/>
            <w:r w:rsidRPr="00A206A5">
              <w:rPr>
                <w:sz w:val="18"/>
              </w:rPr>
              <w:t>,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3"/>
      <w:footerReference w:type="default" r:id="rId14"/>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6.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Props1.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2.xml><?xml version="1.0" encoding="utf-8"?>
<ds:datastoreItem xmlns:ds="http://schemas.openxmlformats.org/officeDocument/2006/customXml" ds:itemID="{DAE04ABB-C9FE-4A14-9C9A-2C14B3F01D39}"/>
</file>

<file path=customXml/itemProps3.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4.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5.xml><?xml version="1.0" encoding="utf-8"?>
<ds:datastoreItem xmlns:ds="http://schemas.openxmlformats.org/officeDocument/2006/customXml" ds:itemID="{8CDC3196-65AB-46BE-AC4D-F7804FA1F8A3}">
  <ds:schemaRefs>
    <ds:schemaRef ds:uri="d32ff0cd-f5ad-463b-933e-5ae6dadf274c"/>
    <ds:schemaRef ds:uri="http://purl.org/dc/elements/1.1/"/>
    <ds:schemaRef ds:uri="d819c212-2ead-4ce1-b89c-8a5028247a69"/>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4319d19-e48d-4edf-95b8-22aaf03d31b5"/>
    <ds:schemaRef ds:uri="http://schemas.microsoft.com/sharepoint/v3"/>
  </ds:schemaRefs>
</ds:datastoreItem>
</file>

<file path=customXml/itemProps6.xml><?xml version="1.0" encoding="utf-8"?>
<ds:datastoreItem xmlns:ds="http://schemas.openxmlformats.org/officeDocument/2006/customXml" ds:itemID="{DA38C946-87F3-4B3D-B662-7C041044479F}"/>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Suarez, Maria L</cp:lastModifiedBy>
  <cp:revision>2</cp:revision>
  <dcterms:created xsi:type="dcterms:W3CDTF">2024-10-29T11:17:00Z</dcterms:created>
  <dcterms:modified xsi:type="dcterms:W3CDTF">2024-10-29T11:17:00Z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-98544651</vt:i4>
  </property>
  <property fmtid="{D5CDD505-2E9C-101B-9397-08002B2CF9AE}" pid="8" name="_NewReviewCycle">
    <vt:lpwstr/>
  </property>
  <property fmtid="{D5CDD505-2E9C-101B-9397-08002B2CF9AE}" pid="9" name="_EmailSubject">
    <vt:lpwstr>EOI #WS1599314806 Gyroscopic Services</vt:lpwstr>
  </property>
  <property fmtid="{D5CDD505-2E9C-101B-9397-08002B2CF9AE}" pid="10" name="_AuthorEmail">
    <vt:lpwstr>jaiden.j.wadman1@exxonmobil.com</vt:lpwstr>
  </property>
  <property fmtid="{D5CDD505-2E9C-101B-9397-08002B2CF9AE}" pid="11" name="_AuthorEmailDisplayName">
    <vt:lpwstr>Wadman, Jaiden /C</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